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42" w:rsidRDefault="00A97B42" w:rsidP="00A97B42">
      <w:pPr>
        <w:pStyle w:val="ListParagraph"/>
        <w:numPr>
          <w:ilvl w:val="0"/>
          <w:numId w:val="1"/>
        </w:numPr>
        <w:spacing w:before="120" w:after="120" w:line="240" w:lineRule="auto"/>
        <w:ind w:left="720"/>
      </w:pPr>
      <w:bookmarkStart w:id="0" w:name="_GoBack"/>
      <w:bookmarkEnd w:id="0"/>
      <w:r w:rsidRPr="00FB78B6">
        <w:t xml:space="preserve">Learning objectives: If activity is a conference with multiple sessions, please </w:t>
      </w:r>
      <w:r w:rsidRPr="00FB78B6">
        <w:rPr>
          <w:b/>
          <w:u w:val="single"/>
        </w:rPr>
        <w:t>submit 3-4 overall learning objectives</w:t>
      </w:r>
      <w:r w:rsidRPr="00FB78B6">
        <w:t xml:space="preserve"> of the activity based on what the Learners are expected to achieve or be able to do after attending the activity. If</w:t>
      </w:r>
      <w:r>
        <w:t xml:space="preserve"> activity is a single session, please </w:t>
      </w:r>
      <w:r>
        <w:rPr>
          <w:b/>
          <w:u w:val="single"/>
        </w:rPr>
        <w:t>submit the session specific learning objectives.</w:t>
      </w:r>
      <w:r>
        <w:t xml:space="preserve"> The learning objectives should address each identified practice gap. Each objective should include a verb that reflects something a physician will do in practice.  </w:t>
      </w:r>
    </w:p>
    <w:p w:rsidR="00A97B42" w:rsidRPr="00FB78B6" w:rsidRDefault="00A97B42" w:rsidP="00A97B42">
      <w:pPr>
        <w:spacing w:before="120" w:after="120" w:line="240" w:lineRule="auto"/>
        <w:ind w:left="720"/>
        <w:rPr>
          <w:color w:val="FF0000"/>
        </w:rPr>
      </w:pPr>
      <w:r w:rsidRPr="00FB78B6">
        <w:rPr>
          <w:b/>
          <w:color w:val="FF0000"/>
        </w:rPr>
        <w:t>Please note:</w:t>
      </w:r>
      <w:r w:rsidRPr="00FB78B6">
        <w:rPr>
          <w:color w:val="FF0000"/>
        </w:rPr>
        <w:t xml:space="preserve"> For conferences with multiple sessions, it is expected that your final program/syllabus/agenda will have session-specific learning objectives.</w:t>
      </w:r>
    </w:p>
    <w:p w:rsidR="00A97B42" w:rsidRDefault="00A97B42" w:rsidP="00A97B42">
      <w:pPr>
        <w:pStyle w:val="ListParagraph"/>
        <w:numPr>
          <w:ilvl w:val="0"/>
          <w:numId w:val="1"/>
        </w:numPr>
        <w:spacing w:after="0" w:line="240" w:lineRule="auto"/>
        <w:ind w:left="720"/>
      </w:pPr>
      <w:r>
        <w:t>Desirable physician competencies: Special skill sets and/or proficiencies within a given field of medicine or medicine in general. For example, the AOA, IOM, or ACGME competencies. Select all the competencies that the activity is expected to address.</w:t>
      </w:r>
    </w:p>
    <w:p w:rsidR="00A97B42" w:rsidRDefault="00A97B42" w:rsidP="00A97B42">
      <w:pPr>
        <w:spacing w:after="0" w:line="240" w:lineRule="auto"/>
        <w:rPr>
          <w:b/>
        </w:rPr>
      </w:pPr>
    </w:p>
    <w:p w:rsidR="00A97B42" w:rsidRDefault="00A97B42" w:rsidP="00A97B42">
      <w:pPr>
        <w:spacing w:after="0" w:line="240" w:lineRule="auto"/>
        <w:jc w:val="center"/>
        <w:rPr>
          <w:b/>
        </w:rPr>
      </w:pPr>
      <w:r>
        <w:rPr>
          <w:b/>
        </w:rPr>
        <w:t>Example Practice Gap Analysis:</w:t>
      </w:r>
    </w:p>
    <w:p w:rsidR="00A97B42" w:rsidRDefault="00A97B42" w:rsidP="00A97B42">
      <w:pPr>
        <w:spacing w:after="0" w:line="240" w:lineRule="auto"/>
        <w:rPr>
          <w:b/>
        </w:rPr>
      </w:pPr>
    </w:p>
    <w:tbl>
      <w:tblPr>
        <w:tblStyle w:val="TableGrid"/>
        <w:tblW w:w="0" w:type="auto"/>
        <w:tblInd w:w="0" w:type="dxa"/>
        <w:tblLayout w:type="fixed"/>
        <w:tblLook w:val="04A0" w:firstRow="1" w:lastRow="0" w:firstColumn="1" w:lastColumn="0" w:noHBand="0" w:noVBand="1"/>
      </w:tblPr>
      <w:tblGrid>
        <w:gridCol w:w="918"/>
        <w:gridCol w:w="1800"/>
        <w:gridCol w:w="3150"/>
        <w:gridCol w:w="2660"/>
        <w:gridCol w:w="2488"/>
      </w:tblGrid>
      <w:tr w:rsidR="00ED0BA7" w:rsidRPr="00932E73" w:rsidTr="00ED0BA7">
        <w:trPr>
          <w:trHeight w:val="315"/>
        </w:trPr>
        <w:tc>
          <w:tcPr>
            <w:tcW w:w="918" w:type="dxa"/>
            <w:tcBorders>
              <w:top w:val="nil"/>
              <w:left w:val="nil"/>
              <w:bottom w:val="nil"/>
              <w:right w:val="single" w:sz="4" w:space="0" w:color="auto"/>
            </w:tcBorders>
            <w:noWrap/>
            <w:hideMark/>
          </w:tcPr>
          <w:p w:rsidR="00ED0BA7" w:rsidRPr="000112B2" w:rsidRDefault="00ED0BA7" w:rsidP="00625B46">
            <w:pPr>
              <w:rPr>
                <w:b/>
                <w:sz w:val="20"/>
                <w:szCs w:val="20"/>
              </w:rPr>
            </w:pPr>
          </w:p>
        </w:tc>
        <w:tc>
          <w:tcPr>
            <w:tcW w:w="1800" w:type="dxa"/>
            <w:tcBorders>
              <w:left w:val="single" w:sz="4" w:space="0" w:color="auto"/>
              <w:bottom w:val="single" w:sz="4" w:space="0" w:color="auto"/>
            </w:tcBorders>
            <w:shd w:val="clear" w:color="auto" w:fill="BFBFBF" w:themeFill="background1" w:themeFillShade="BF"/>
            <w:noWrap/>
            <w:hideMark/>
          </w:tcPr>
          <w:p w:rsidR="00ED0BA7" w:rsidRPr="0000524C" w:rsidRDefault="00ED0BA7" w:rsidP="00625B46">
            <w:pPr>
              <w:rPr>
                <w:b/>
                <w:bCs/>
                <w:sz w:val="20"/>
                <w:szCs w:val="20"/>
              </w:rPr>
            </w:pPr>
            <w:r w:rsidRPr="0000524C">
              <w:rPr>
                <w:b/>
                <w:bCs/>
                <w:sz w:val="20"/>
                <w:szCs w:val="20"/>
              </w:rPr>
              <w:t>PROFESSIONAL PRACTICE GAP</w:t>
            </w:r>
          </w:p>
        </w:tc>
        <w:tc>
          <w:tcPr>
            <w:tcW w:w="3150" w:type="dxa"/>
            <w:shd w:val="clear" w:color="auto" w:fill="BFBFBF" w:themeFill="background1" w:themeFillShade="BF"/>
            <w:noWrap/>
            <w:hideMark/>
          </w:tcPr>
          <w:p w:rsidR="00ED0BA7" w:rsidRPr="0000524C" w:rsidRDefault="00ED0BA7" w:rsidP="00625B46">
            <w:pPr>
              <w:rPr>
                <w:b/>
                <w:bCs/>
                <w:sz w:val="20"/>
                <w:szCs w:val="20"/>
              </w:rPr>
            </w:pPr>
            <w:r w:rsidRPr="0000524C">
              <w:rPr>
                <w:b/>
                <w:bCs/>
                <w:sz w:val="20"/>
                <w:szCs w:val="20"/>
              </w:rPr>
              <w:t>EDUCATIONAL NEED/TOPICS FOR THE PRESENTATION</w:t>
            </w:r>
          </w:p>
        </w:tc>
        <w:tc>
          <w:tcPr>
            <w:tcW w:w="2660" w:type="dxa"/>
            <w:shd w:val="clear" w:color="auto" w:fill="BFBFBF" w:themeFill="background1" w:themeFillShade="BF"/>
            <w:noWrap/>
            <w:hideMark/>
          </w:tcPr>
          <w:p w:rsidR="00ED0BA7" w:rsidRDefault="00ED0BA7" w:rsidP="00625B46">
            <w:pPr>
              <w:rPr>
                <w:b/>
                <w:bCs/>
                <w:sz w:val="20"/>
                <w:szCs w:val="20"/>
              </w:rPr>
            </w:pPr>
            <w:r w:rsidRPr="0000524C">
              <w:rPr>
                <w:b/>
                <w:bCs/>
                <w:sz w:val="20"/>
                <w:szCs w:val="20"/>
              </w:rPr>
              <w:t xml:space="preserve">LEARNING OBJECTIVES </w:t>
            </w:r>
          </w:p>
          <w:p w:rsidR="00ED0BA7" w:rsidRPr="0000524C" w:rsidRDefault="00ED0BA7" w:rsidP="00625B46">
            <w:pPr>
              <w:rPr>
                <w:b/>
                <w:bCs/>
                <w:sz w:val="20"/>
                <w:szCs w:val="20"/>
              </w:rPr>
            </w:pPr>
            <w:r w:rsidRPr="0000524C">
              <w:rPr>
                <w:b/>
                <w:bCs/>
                <w:sz w:val="20"/>
                <w:szCs w:val="20"/>
              </w:rPr>
              <w:t xml:space="preserve">(3-4 for overall </w:t>
            </w:r>
            <w:r>
              <w:rPr>
                <w:b/>
                <w:bCs/>
                <w:sz w:val="20"/>
                <w:szCs w:val="20"/>
              </w:rPr>
              <w:t xml:space="preserve"> conference/ </w:t>
            </w:r>
            <w:r w:rsidRPr="0000524C">
              <w:rPr>
                <w:b/>
                <w:bCs/>
                <w:sz w:val="20"/>
                <w:szCs w:val="20"/>
              </w:rPr>
              <w:t>individual session)</w:t>
            </w:r>
          </w:p>
        </w:tc>
        <w:tc>
          <w:tcPr>
            <w:tcW w:w="2488" w:type="dxa"/>
            <w:shd w:val="clear" w:color="auto" w:fill="BFBFBF" w:themeFill="background1" w:themeFillShade="BF"/>
            <w:noWrap/>
            <w:hideMark/>
          </w:tcPr>
          <w:p w:rsidR="00ED0BA7" w:rsidRPr="0000524C" w:rsidRDefault="00ED0BA7" w:rsidP="00625B46">
            <w:pPr>
              <w:rPr>
                <w:b/>
                <w:bCs/>
                <w:sz w:val="20"/>
                <w:szCs w:val="20"/>
              </w:rPr>
            </w:pPr>
            <w:r w:rsidRPr="0000524C">
              <w:rPr>
                <w:b/>
                <w:bCs/>
                <w:sz w:val="20"/>
                <w:szCs w:val="20"/>
              </w:rPr>
              <w:t xml:space="preserve">DESIRED RESULTS/ CHANGE(S) EXPECTED </w:t>
            </w:r>
          </w:p>
        </w:tc>
      </w:tr>
      <w:tr w:rsidR="00ED0BA7" w:rsidRPr="00932E73" w:rsidTr="00ED0BA7">
        <w:trPr>
          <w:trHeight w:val="1907"/>
        </w:trPr>
        <w:tc>
          <w:tcPr>
            <w:tcW w:w="918" w:type="dxa"/>
            <w:tcBorders>
              <w:top w:val="nil"/>
              <w:left w:val="nil"/>
              <w:bottom w:val="single" w:sz="4" w:space="0" w:color="auto"/>
              <w:right w:val="single" w:sz="4" w:space="0" w:color="auto"/>
            </w:tcBorders>
            <w:noWrap/>
            <w:hideMark/>
          </w:tcPr>
          <w:p w:rsidR="00ED0BA7" w:rsidRPr="000112B2" w:rsidRDefault="00ED0BA7" w:rsidP="00625B46">
            <w:pPr>
              <w:rPr>
                <w:b/>
                <w:i/>
                <w:iCs/>
                <w:sz w:val="20"/>
                <w:szCs w:val="20"/>
              </w:rPr>
            </w:pPr>
          </w:p>
        </w:tc>
        <w:tc>
          <w:tcPr>
            <w:tcW w:w="1800" w:type="dxa"/>
            <w:tcBorders>
              <w:left w:val="single" w:sz="4" w:space="0" w:color="auto"/>
            </w:tcBorders>
            <w:hideMark/>
          </w:tcPr>
          <w:p w:rsidR="00ED0BA7" w:rsidRDefault="00ED0BA7" w:rsidP="00625B46">
            <w:pPr>
              <w:rPr>
                <w:b/>
                <w:bCs/>
                <w:i/>
                <w:iCs/>
                <w:sz w:val="18"/>
                <w:szCs w:val="18"/>
              </w:rPr>
            </w:pPr>
            <w:r w:rsidRPr="00C310C3">
              <w:rPr>
                <w:b/>
                <w:bCs/>
                <w:i/>
                <w:iCs/>
                <w:sz w:val="18"/>
                <w:szCs w:val="18"/>
              </w:rPr>
              <w:t>What problem is the activity planned to address/how are the intended participants currently involved?</w:t>
            </w:r>
          </w:p>
          <w:p w:rsidR="00ED0BA7" w:rsidRDefault="00ED0BA7" w:rsidP="00625B46">
            <w:pPr>
              <w:rPr>
                <w:b/>
                <w:bCs/>
                <w:i/>
                <w:iCs/>
                <w:sz w:val="18"/>
                <w:szCs w:val="18"/>
              </w:rPr>
            </w:pPr>
          </w:p>
          <w:p w:rsidR="00ED0BA7" w:rsidRPr="00BA1BB8" w:rsidRDefault="00ED0BA7" w:rsidP="00625B46">
            <w:pPr>
              <w:rPr>
                <w:b/>
                <w:bCs/>
                <w:i/>
                <w:iCs/>
                <w:sz w:val="18"/>
                <w:szCs w:val="18"/>
              </w:rPr>
            </w:pPr>
            <w:r w:rsidRPr="00BA1BB8">
              <w:rPr>
                <w:b/>
                <w:bCs/>
                <w:i/>
                <w:iCs/>
                <w:sz w:val="18"/>
                <w:szCs w:val="18"/>
              </w:rPr>
              <w:t>Cite the source used to identify the problem.</w:t>
            </w:r>
          </w:p>
        </w:tc>
        <w:tc>
          <w:tcPr>
            <w:tcW w:w="3150" w:type="dxa"/>
            <w:hideMark/>
          </w:tcPr>
          <w:p w:rsidR="00ED0BA7" w:rsidRDefault="00ED0BA7" w:rsidP="00625B46">
            <w:pPr>
              <w:rPr>
                <w:b/>
                <w:bCs/>
                <w:i/>
                <w:iCs/>
                <w:sz w:val="18"/>
                <w:szCs w:val="18"/>
              </w:rPr>
            </w:pPr>
            <w:r w:rsidRPr="00C310C3">
              <w:rPr>
                <w:b/>
                <w:bCs/>
                <w:i/>
                <w:iCs/>
                <w:sz w:val="18"/>
                <w:szCs w:val="18"/>
              </w:rPr>
              <w:t>Why does the problem exist and what will be presented to address what the learner needs to do?</w:t>
            </w:r>
          </w:p>
          <w:p w:rsidR="00ED0BA7" w:rsidRDefault="00ED0BA7" w:rsidP="00625B46">
            <w:pPr>
              <w:rPr>
                <w:b/>
                <w:bCs/>
                <w:i/>
                <w:iCs/>
                <w:sz w:val="18"/>
                <w:szCs w:val="18"/>
              </w:rPr>
            </w:pPr>
          </w:p>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What education</w:t>
            </w:r>
            <w:r>
              <w:rPr>
                <w:b/>
                <w:bCs/>
                <w:i/>
                <w:iCs/>
                <w:color w:val="FF0000"/>
                <w:sz w:val="18"/>
                <w:szCs w:val="18"/>
                <w:highlight w:val="yellow"/>
              </w:rPr>
              <w:t xml:space="preserve">al need(s) are the cause of the </w:t>
            </w:r>
            <w:r w:rsidRPr="00DF59AE">
              <w:rPr>
                <w:b/>
                <w:bCs/>
                <w:i/>
                <w:iCs/>
                <w:color w:val="FF0000"/>
                <w:sz w:val="18"/>
                <w:szCs w:val="18"/>
                <w:highlight w:val="yellow"/>
              </w:rPr>
              <w:t>professional gap(s)? (indicate and explain all that apply)</w:t>
            </w:r>
          </w:p>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1. knowledge</w:t>
            </w:r>
          </w:p>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2. Competence</w:t>
            </w:r>
          </w:p>
          <w:p w:rsidR="00ED0BA7" w:rsidRPr="006974E0" w:rsidRDefault="00ED0BA7" w:rsidP="00625B46">
            <w:pPr>
              <w:rPr>
                <w:b/>
                <w:bCs/>
                <w:i/>
                <w:iCs/>
                <w:color w:val="FF0000"/>
                <w:sz w:val="18"/>
                <w:szCs w:val="18"/>
              </w:rPr>
            </w:pPr>
            <w:r w:rsidRPr="00DF59AE">
              <w:rPr>
                <w:b/>
                <w:bCs/>
                <w:i/>
                <w:iCs/>
                <w:color w:val="FF0000"/>
                <w:sz w:val="18"/>
                <w:szCs w:val="18"/>
                <w:highlight w:val="yellow"/>
              </w:rPr>
              <w:t>3. Performance</w:t>
            </w:r>
          </w:p>
          <w:p w:rsidR="00ED0BA7" w:rsidRPr="00C310C3" w:rsidRDefault="00ED0BA7" w:rsidP="00625B46">
            <w:pPr>
              <w:rPr>
                <w:b/>
                <w:bCs/>
                <w:i/>
                <w:iCs/>
                <w:sz w:val="18"/>
                <w:szCs w:val="18"/>
              </w:rPr>
            </w:pPr>
          </w:p>
        </w:tc>
        <w:tc>
          <w:tcPr>
            <w:tcW w:w="2660" w:type="dxa"/>
            <w:hideMark/>
          </w:tcPr>
          <w:p w:rsidR="00ED0BA7" w:rsidRPr="00C310C3" w:rsidRDefault="00ED0BA7" w:rsidP="00625B46">
            <w:pPr>
              <w:rPr>
                <w:b/>
                <w:bCs/>
                <w:i/>
                <w:iCs/>
                <w:sz w:val="18"/>
                <w:szCs w:val="18"/>
              </w:rPr>
            </w:pPr>
            <w:r w:rsidRPr="00C310C3">
              <w:rPr>
                <w:b/>
                <w:bCs/>
                <w:i/>
                <w:iCs/>
                <w:sz w:val="18"/>
                <w:szCs w:val="18"/>
              </w:rPr>
              <w:t>What is the learner expected to achieve or be able to do to address the identified professional practice gap(s) after the activity?</w:t>
            </w:r>
          </w:p>
        </w:tc>
        <w:tc>
          <w:tcPr>
            <w:tcW w:w="2488" w:type="dxa"/>
            <w:hideMark/>
          </w:tcPr>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The activity is designed to change: (indicate all that apply)</w:t>
            </w:r>
          </w:p>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1. Competence</w:t>
            </w:r>
          </w:p>
          <w:p w:rsidR="00ED0BA7" w:rsidRPr="00DF59AE" w:rsidRDefault="00ED0BA7" w:rsidP="00625B46">
            <w:pPr>
              <w:rPr>
                <w:b/>
                <w:bCs/>
                <w:i/>
                <w:iCs/>
                <w:color w:val="FF0000"/>
                <w:sz w:val="18"/>
                <w:szCs w:val="18"/>
                <w:highlight w:val="yellow"/>
              </w:rPr>
            </w:pPr>
            <w:r w:rsidRPr="00DF59AE">
              <w:rPr>
                <w:b/>
                <w:bCs/>
                <w:i/>
                <w:iCs/>
                <w:color w:val="FF0000"/>
                <w:sz w:val="18"/>
                <w:szCs w:val="18"/>
                <w:highlight w:val="yellow"/>
              </w:rPr>
              <w:t>2. Performance</w:t>
            </w:r>
          </w:p>
          <w:p w:rsidR="00ED0BA7" w:rsidRPr="006974E0" w:rsidRDefault="00ED0BA7" w:rsidP="00625B46">
            <w:pPr>
              <w:rPr>
                <w:b/>
                <w:bCs/>
                <w:i/>
                <w:iCs/>
                <w:color w:val="FF0000"/>
                <w:sz w:val="18"/>
                <w:szCs w:val="18"/>
              </w:rPr>
            </w:pPr>
            <w:r w:rsidRPr="00DF59AE">
              <w:rPr>
                <w:b/>
                <w:bCs/>
                <w:i/>
                <w:iCs/>
                <w:color w:val="FF0000"/>
                <w:sz w:val="18"/>
                <w:szCs w:val="18"/>
                <w:highlight w:val="yellow"/>
              </w:rPr>
              <w:t>3. Patient Outcomes</w:t>
            </w:r>
            <w:r w:rsidRPr="006974E0">
              <w:rPr>
                <w:b/>
                <w:bCs/>
                <w:i/>
                <w:iCs/>
                <w:color w:val="FF0000"/>
                <w:sz w:val="18"/>
                <w:szCs w:val="18"/>
              </w:rPr>
              <w:t xml:space="preserve"> </w:t>
            </w:r>
          </w:p>
          <w:p w:rsidR="00ED0BA7" w:rsidRDefault="00ED0BA7" w:rsidP="00625B46">
            <w:pPr>
              <w:rPr>
                <w:b/>
                <w:bCs/>
                <w:i/>
                <w:iCs/>
                <w:sz w:val="18"/>
                <w:szCs w:val="18"/>
              </w:rPr>
            </w:pPr>
          </w:p>
          <w:p w:rsidR="00ED0BA7" w:rsidRDefault="00ED0BA7" w:rsidP="00625B46">
            <w:pPr>
              <w:rPr>
                <w:b/>
                <w:bCs/>
                <w:i/>
                <w:iCs/>
                <w:sz w:val="18"/>
                <w:szCs w:val="18"/>
              </w:rPr>
            </w:pPr>
            <w:r w:rsidRPr="00C310C3">
              <w:rPr>
                <w:b/>
                <w:bCs/>
                <w:i/>
                <w:iCs/>
                <w:sz w:val="18"/>
                <w:szCs w:val="18"/>
              </w:rPr>
              <w:t xml:space="preserve">How will the activity change the </w:t>
            </w:r>
            <w:r>
              <w:rPr>
                <w:b/>
                <w:bCs/>
                <w:i/>
                <w:iCs/>
                <w:sz w:val="18"/>
                <w:szCs w:val="18"/>
              </w:rPr>
              <w:t>L</w:t>
            </w:r>
            <w:r w:rsidRPr="00C310C3">
              <w:rPr>
                <w:b/>
                <w:bCs/>
                <w:i/>
                <w:iCs/>
                <w:sz w:val="18"/>
                <w:szCs w:val="18"/>
              </w:rPr>
              <w:t>earners</w:t>
            </w:r>
            <w:r>
              <w:rPr>
                <w:b/>
                <w:bCs/>
                <w:i/>
                <w:iCs/>
                <w:sz w:val="18"/>
                <w:szCs w:val="18"/>
              </w:rPr>
              <w:t>’</w:t>
            </w:r>
            <w:r w:rsidRPr="00C310C3">
              <w:rPr>
                <w:b/>
                <w:bCs/>
                <w:i/>
                <w:iCs/>
                <w:sz w:val="18"/>
                <w:szCs w:val="18"/>
              </w:rPr>
              <w:t xml:space="preserve"> competence, performance, OR patient outcomes? </w:t>
            </w:r>
          </w:p>
          <w:p w:rsidR="00ED0BA7" w:rsidRDefault="00ED0BA7" w:rsidP="00625B46">
            <w:pPr>
              <w:rPr>
                <w:b/>
                <w:bCs/>
                <w:i/>
                <w:iCs/>
                <w:sz w:val="18"/>
                <w:szCs w:val="18"/>
              </w:rPr>
            </w:pPr>
          </w:p>
          <w:p w:rsidR="00ED0BA7" w:rsidRDefault="00ED0BA7" w:rsidP="00625B46">
            <w:pPr>
              <w:rPr>
                <w:b/>
                <w:bCs/>
                <w:i/>
                <w:iCs/>
                <w:sz w:val="18"/>
                <w:szCs w:val="18"/>
              </w:rPr>
            </w:pPr>
            <w:r w:rsidRPr="00C310C3">
              <w:rPr>
                <w:b/>
                <w:bCs/>
                <w:i/>
                <w:iCs/>
                <w:sz w:val="18"/>
                <w:szCs w:val="18"/>
              </w:rPr>
              <w:t>How w</w:t>
            </w:r>
            <w:r>
              <w:rPr>
                <w:b/>
                <w:bCs/>
                <w:i/>
                <w:iCs/>
                <w:sz w:val="18"/>
                <w:szCs w:val="18"/>
              </w:rPr>
              <w:t>ill</w:t>
            </w:r>
            <w:r w:rsidRPr="00C310C3">
              <w:rPr>
                <w:b/>
                <w:bCs/>
                <w:i/>
                <w:iCs/>
                <w:sz w:val="18"/>
                <w:szCs w:val="18"/>
              </w:rPr>
              <w:t xml:space="preserve"> it measured?</w:t>
            </w:r>
          </w:p>
          <w:p w:rsidR="00ED0BA7" w:rsidRPr="00C310C3" w:rsidRDefault="00ED0BA7" w:rsidP="00625B46">
            <w:pPr>
              <w:rPr>
                <w:b/>
                <w:bCs/>
                <w:i/>
                <w:iCs/>
                <w:sz w:val="18"/>
                <w:szCs w:val="18"/>
              </w:rPr>
            </w:pPr>
          </w:p>
        </w:tc>
      </w:tr>
      <w:tr w:rsidR="00ED0BA7" w:rsidRPr="00932E73" w:rsidTr="00ED0BA7">
        <w:trPr>
          <w:trHeight w:val="3221"/>
        </w:trPr>
        <w:tc>
          <w:tcPr>
            <w:tcW w:w="918" w:type="dxa"/>
            <w:tcBorders>
              <w:top w:val="single" w:sz="4" w:space="0" w:color="auto"/>
            </w:tcBorders>
            <w:hideMark/>
          </w:tcPr>
          <w:p w:rsidR="00ED0BA7" w:rsidRPr="000112B2" w:rsidRDefault="00ED0BA7" w:rsidP="00625B46">
            <w:pPr>
              <w:rPr>
                <w:b/>
                <w:sz w:val="18"/>
                <w:szCs w:val="18"/>
              </w:rPr>
            </w:pPr>
            <w:r w:rsidRPr="000112B2">
              <w:rPr>
                <w:b/>
                <w:sz w:val="18"/>
                <w:szCs w:val="18"/>
              </w:rPr>
              <w:t xml:space="preserve">Example 1 </w:t>
            </w:r>
          </w:p>
        </w:tc>
        <w:tc>
          <w:tcPr>
            <w:tcW w:w="1800" w:type="dxa"/>
            <w:hideMark/>
          </w:tcPr>
          <w:p w:rsidR="00ED0BA7" w:rsidRPr="00C310C3" w:rsidRDefault="00ED0BA7" w:rsidP="00625B46">
            <w:pPr>
              <w:rPr>
                <w:sz w:val="18"/>
                <w:szCs w:val="18"/>
              </w:rPr>
            </w:pPr>
            <w:r w:rsidRPr="00C310C3">
              <w:rPr>
                <w:sz w:val="18"/>
                <w:szCs w:val="18"/>
              </w:rPr>
              <w:t xml:space="preserve">The CDC cites ADHD as the most commonly diagnosed behavioral disorder in children under 18 resulting in continued symptoms.  Physicians continue to mistake ADHD for other disorders like anxiety, bipolar, OCD, sensory processing, and autism.  </w:t>
            </w:r>
            <w:r>
              <w:rPr>
                <w:sz w:val="18"/>
                <w:szCs w:val="18"/>
              </w:rPr>
              <w:t>(Provide citation for CDC).</w:t>
            </w:r>
          </w:p>
        </w:tc>
        <w:tc>
          <w:tcPr>
            <w:tcW w:w="3150" w:type="dxa"/>
            <w:hideMark/>
          </w:tcPr>
          <w:p w:rsidR="00ED0BA7" w:rsidRDefault="00ED0BA7" w:rsidP="00625B46">
            <w:pPr>
              <w:rPr>
                <w:sz w:val="18"/>
                <w:szCs w:val="18"/>
              </w:rPr>
            </w:pPr>
            <w:r>
              <w:rPr>
                <w:sz w:val="18"/>
                <w:szCs w:val="18"/>
              </w:rPr>
              <w:t>Many physicians l</w:t>
            </w:r>
            <w:r w:rsidRPr="00C310C3">
              <w:rPr>
                <w:sz w:val="18"/>
                <w:szCs w:val="18"/>
              </w:rPr>
              <w:t>ack</w:t>
            </w:r>
            <w:r>
              <w:rPr>
                <w:sz w:val="18"/>
                <w:szCs w:val="18"/>
              </w:rPr>
              <w:t xml:space="preserve"> </w:t>
            </w:r>
            <w:r w:rsidRPr="00C310C3">
              <w:rPr>
                <w:sz w:val="18"/>
                <w:szCs w:val="18"/>
              </w:rPr>
              <w:t xml:space="preserve">knowledge, competence, or </w:t>
            </w:r>
            <w:r>
              <w:rPr>
                <w:sz w:val="18"/>
                <w:szCs w:val="18"/>
              </w:rPr>
              <w:t xml:space="preserve">an understanding of family dynamics and </w:t>
            </w:r>
            <w:r w:rsidRPr="00C310C3">
              <w:rPr>
                <w:sz w:val="18"/>
                <w:szCs w:val="18"/>
              </w:rPr>
              <w:t>certain behavior</w:t>
            </w:r>
            <w:r>
              <w:rPr>
                <w:sz w:val="18"/>
                <w:szCs w:val="18"/>
              </w:rPr>
              <w:t xml:space="preserve">s that affect the ability to make an accurate diagnosis and make </w:t>
            </w:r>
            <w:r w:rsidRPr="00C310C3">
              <w:rPr>
                <w:sz w:val="18"/>
                <w:szCs w:val="18"/>
              </w:rPr>
              <w:t>recommendations to avoid over/under medication a</w:t>
            </w:r>
            <w:r>
              <w:rPr>
                <w:sz w:val="18"/>
                <w:szCs w:val="18"/>
              </w:rPr>
              <w:t xml:space="preserve">s well as provide </w:t>
            </w:r>
            <w:r w:rsidRPr="00C310C3">
              <w:rPr>
                <w:sz w:val="18"/>
                <w:szCs w:val="18"/>
              </w:rPr>
              <w:t xml:space="preserve">supplemental treatment options. </w:t>
            </w:r>
          </w:p>
          <w:p w:rsidR="00ED0BA7" w:rsidRPr="00277389" w:rsidRDefault="00ED0BA7" w:rsidP="00625B46">
            <w:pPr>
              <w:rPr>
                <w:sz w:val="18"/>
                <w:szCs w:val="18"/>
              </w:rPr>
            </w:pPr>
          </w:p>
          <w:p w:rsidR="00ED0BA7" w:rsidRPr="00277389" w:rsidRDefault="00ED0BA7" w:rsidP="00625B46">
            <w:pPr>
              <w:rPr>
                <w:sz w:val="18"/>
                <w:szCs w:val="18"/>
              </w:rPr>
            </w:pPr>
          </w:p>
          <w:p w:rsidR="00ED0BA7" w:rsidRPr="00277389" w:rsidRDefault="00ED0BA7" w:rsidP="00625B46">
            <w:pPr>
              <w:rPr>
                <w:b/>
                <w:i/>
                <w:sz w:val="18"/>
                <w:szCs w:val="18"/>
              </w:rPr>
            </w:pPr>
            <w:r w:rsidRPr="00277389">
              <w:rPr>
                <w:b/>
                <w:i/>
                <w:sz w:val="18"/>
                <w:szCs w:val="18"/>
              </w:rPr>
              <w:t xml:space="preserve">(knowledge, competence)       </w:t>
            </w:r>
          </w:p>
          <w:p w:rsidR="00ED0BA7" w:rsidRDefault="00ED0BA7" w:rsidP="00625B46">
            <w:pPr>
              <w:rPr>
                <w:sz w:val="18"/>
                <w:szCs w:val="18"/>
              </w:rPr>
            </w:pPr>
          </w:p>
          <w:p w:rsidR="00ED0BA7" w:rsidRDefault="00ED0BA7" w:rsidP="00625B46">
            <w:pPr>
              <w:rPr>
                <w:sz w:val="18"/>
                <w:szCs w:val="18"/>
              </w:rPr>
            </w:pPr>
          </w:p>
          <w:p w:rsidR="00ED0BA7" w:rsidRDefault="00ED0BA7" w:rsidP="00625B46">
            <w:pPr>
              <w:rPr>
                <w:sz w:val="18"/>
                <w:szCs w:val="18"/>
              </w:rPr>
            </w:pPr>
          </w:p>
          <w:p w:rsidR="00ED0BA7" w:rsidRPr="00277389" w:rsidRDefault="00ED0BA7" w:rsidP="00625B46">
            <w:pPr>
              <w:jc w:val="center"/>
              <w:rPr>
                <w:sz w:val="18"/>
                <w:szCs w:val="18"/>
              </w:rPr>
            </w:pPr>
          </w:p>
        </w:tc>
        <w:tc>
          <w:tcPr>
            <w:tcW w:w="2660" w:type="dxa"/>
            <w:hideMark/>
          </w:tcPr>
          <w:p w:rsidR="00ED0BA7" w:rsidRDefault="00ED0BA7" w:rsidP="00625B46">
            <w:pPr>
              <w:rPr>
                <w:sz w:val="18"/>
                <w:szCs w:val="18"/>
              </w:rPr>
            </w:pPr>
            <w:r>
              <w:rPr>
                <w:sz w:val="18"/>
                <w:szCs w:val="18"/>
              </w:rPr>
              <w:t>After this presentation, clinicians will be able to:</w:t>
            </w:r>
          </w:p>
          <w:p w:rsidR="00ED0BA7" w:rsidRDefault="00ED0BA7" w:rsidP="00625B46">
            <w:pPr>
              <w:ind w:firstLine="720"/>
              <w:rPr>
                <w:sz w:val="18"/>
                <w:szCs w:val="18"/>
              </w:rPr>
            </w:pPr>
          </w:p>
          <w:p w:rsidR="00ED0BA7" w:rsidRPr="002209F6" w:rsidRDefault="00ED0BA7" w:rsidP="00625B46">
            <w:pPr>
              <w:rPr>
                <w:sz w:val="18"/>
                <w:szCs w:val="18"/>
              </w:rPr>
            </w:pPr>
            <w:r>
              <w:rPr>
                <w:sz w:val="18"/>
                <w:szCs w:val="18"/>
              </w:rPr>
              <w:t xml:space="preserve">1) </w:t>
            </w:r>
            <w:r w:rsidRPr="002209F6">
              <w:rPr>
                <w:sz w:val="18"/>
                <w:szCs w:val="18"/>
              </w:rPr>
              <w:t>Describe the presentation of ADHD in children in order to initiate appropriate screening and diagnosis</w:t>
            </w:r>
            <w:r>
              <w:rPr>
                <w:sz w:val="18"/>
                <w:szCs w:val="18"/>
              </w:rPr>
              <w:t>.</w:t>
            </w:r>
          </w:p>
          <w:p w:rsidR="00ED0BA7" w:rsidRPr="002209F6" w:rsidRDefault="00ED0BA7" w:rsidP="00625B46">
            <w:pPr>
              <w:rPr>
                <w:sz w:val="18"/>
                <w:szCs w:val="18"/>
              </w:rPr>
            </w:pPr>
            <w:r>
              <w:rPr>
                <w:sz w:val="18"/>
                <w:szCs w:val="18"/>
              </w:rPr>
              <w:t xml:space="preserve">2) </w:t>
            </w:r>
            <w:r w:rsidRPr="002209F6">
              <w:rPr>
                <w:sz w:val="18"/>
                <w:szCs w:val="18"/>
              </w:rPr>
              <w:t>Incorporate pharmacologic and non-pharmacologic strategies into the treatment based on individual patient factors</w:t>
            </w:r>
            <w:r>
              <w:rPr>
                <w:sz w:val="18"/>
                <w:szCs w:val="18"/>
              </w:rPr>
              <w:t>.</w:t>
            </w:r>
          </w:p>
          <w:p w:rsidR="00ED0BA7" w:rsidRDefault="00ED0BA7" w:rsidP="00625B46">
            <w:pPr>
              <w:rPr>
                <w:sz w:val="18"/>
                <w:szCs w:val="18"/>
              </w:rPr>
            </w:pPr>
            <w:r>
              <w:rPr>
                <w:sz w:val="18"/>
                <w:szCs w:val="18"/>
              </w:rPr>
              <w:t xml:space="preserve">3) </w:t>
            </w:r>
            <w:r w:rsidRPr="002209F6">
              <w:rPr>
                <w:sz w:val="18"/>
                <w:szCs w:val="18"/>
              </w:rPr>
              <w:t>Collaborate with patients and parents to develop strategies for the long-term management, including strategies to address treatment adherence and monitor outcomes</w:t>
            </w:r>
            <w:r>
              <w:rPr>
                <w:sz w:val="18"/>
                <w:szCs w:val="18"/>
              </w:rPr>
              <w:t>.</w:t>
            </w:r>
          </w:p>
          <w:p w:rsidR="00ED0BA7" w:rsidRPr="00C310C3" w:rsidRDefault="00ED0BA7" w:rsidP="00625B46">
            <w:pPr>
              <w:rPr>
                <w:sz w:val="18"/>
                <w:szCs w:val="18"/>
              </w:rPr>
            </w:pPr>
          </w:p>
        </w:tc>
        <w:tc>
          <w:tcPr>
            <w:tcW w:w="2488" w:type="dxa"/>
            <w:hideMark/>
          </w:tcPr>
          <w:p w:rsidR="00ED0BA7" w:rsidRDefault="00ED0BA7" w:rsidP="00625B46">
            <w:pPr>
              <w:rPr>
                <w:sz w:val="18"/>
                <w:szCs w:val="18"/>
              </w:rPr>
            </w:pPr>
            <w:r w:rsidRPr="00C310C3">
              <w:rPr>
                <w:sz w:val="18"/>
                <w:szCs w:val="18"/>
              </w:rPr>
              <w:t xml:space="preserve">Physicians will be able to better diagnose and appropriately treat ADHD.  </w:t>
            </w:r>
          </w:p>
          <w:p w:rsidR="00ED0BA7" w:rsidRDefault="00ED0BA7" w:rsidP="00625B46">
            <w:pPr>
              <w:jc w:val="center"/>
              <w:rPr>
                <w:sz w:val="18"/>
                <w:szCs w:val="18"/>
              </w:rPr>
            </w:pPr>
          </w:p>
          <w:p w:rsidR="00ED0BA7" w:rsidRDefault="00ED0BA7" w:rsidP="00625B46">
            <w:pPr>
              <w:rPr>
                <w:sz w:val="18"/>
                <w:szCs w:val="18"/>
              </w:rPr>
            </w:pPr>
            <w:r>
              <w:rPr>
                <w:sz w:val="18"/>
                <w:szCs w:val="18"/>
              </w:rPr>
              <w:t>Measured by electronic responses to case studies during presentation and clinician use of screening tools 3 months after CME activity</w:t>
            </w:r>
            <w:r w:rsidRPr="00C310C3">
              <w:rPr>
                <w:sz w:val="18"/>
                <w:szCs w:val="18"/>
              </w:rPr>
              <w:t xml:space="preserve">.   </w:t>
            </w:r>
          </w:p>
          <w:p w:rsidR="00ED0BA7" w:rsidRDefault="00ED0BA7" w:rsidP="00625B46">
            <w:pPr>
              <w:rPr>
                <w:sz w:val="18"/>
                <w:szCs w:val="18"/>
              </w:rPr>
            </w:pPr>
          </w:p>
          <w:p w:rsidR="00ED0BA7" w:rsidRPr="000112B2" w:rsidRDefault="00ED0BA7" w:rsidP="00625B46">
            <w:pPr>
              <w:rPr>
                <w:b/>
                <w:i/>
                <w:sz w:val="18"/>
                <w:szCs w:val="18"/>
              </w:rPr>
            </w:pPr>
            <w:r w:rsidRPr="000112B2">
              <w:rPr>
                <w:b/>
                <w:i/>
                <w:sz w:val="18"/>
                <w:szCs w:val="18"/>
              </w:rPr>
              <w:t>(Competence)</w:t>
            </w:r>
          </w:p>
        </w:tc>
      </w:tr>
      <w:tr w:rsidR="00ED0BA7" w:rsidRPr="00932E73" w:rsidTr="00ED0BA7">
        <w:trPr>
          <w:trHeight w:val="4751"/>
        </w:trPr>
        <w:tc>
          <w:tcPr>
            <w:tcW w:w="918" w:type="dxa"/>
            <w:hideMark/>
          </w:tcPr>
          <w:p w:rsidR="00ED0BA7" w:rsidRPr="000112B2" w:rsidRDefault="00ED0BA7" w:rsidP="00625B46">
            <w:pPr>
              <w:rPr>
                <w:b/>
                <w:sz w:val="18"/>
                <w:szCs w:val="18"/>
              </w:rPr>
            </w:pPr>
            <w:r w:rsidRPr="000112B2">
              <w:rPr>
                <w:b/>
                <w:sz w:val="18"/>
                <w:szCs w:val="18"/>
              </w:rPr>
              <w:lastRenderedPageBreak/>
              <w:t>Example 2</w:t>
            </w:r>
          </w:p>
        </w:tc>
        <w:tc>
          <w:tcPr>
            <w:tcW w:w="1800" w:type="dxa"/>
            <w:hideMark/>
          </w:tcPr>
          <w:p w:rsidR="00ED0BA7" w:rsidRPr="00C310C3" w:rsidRDefault="00ED0BA7" w:rsidP="00625B46">
            <w:pPr>
              <w:rPr>
                <w:sz w:val="18"/>
                <w:szCs w:val="18"/>
              </w:rPr>
            </w:pPr>
            <w:r>
              <w:rPr>
                <w:sz w:val="18"/>
                <w:szCs w:val="18"/>
              </w:rPr>
              <w:t>According to (name of institution)’s records, m</w:t>
            </w:r>
            <w:r w:rsidRPr="00C310C3">
              <w:rPr>
                <w:sz w:val="18"/>
                <w:szCs w:val="18"/>
              </w:rPr>
              <w:t xml:space="preserve">any </w:t>
            </w:r>
            <w:r>
              <w:rPr>
                <w:sz w:val="18"/>
                <w:szCs w:val="18"/>
              </w:rPr>
              <w:t>of its</w:t>
            </w:r>
            <w:r w:rsidRPr="00C310C3">
              <w:rPr>
                <w:sz w:val="18"/>
                <w:szCs w:val="18"/>
              </w:rPr>
              <w:t xml:space="preserve"> physicians do not utilize national and institutional protocols in the administration and monitoring of Warfarin resulting in increases hemorrhages, GI disturbances, alopecia, rash, and fatigue.   The drug is effective but linked to numerous disease and drug interactions according to the AHA. </w:t>
            </w:r>
          </w:p>
        </w:tc>
        <w:tc>
          <w:tcPr>
            <w:tcW w:w="3150" w:type="dxa"/>
            <w:hideMark/>
          </w:tcPr>
          <w:p w:rsidR="00ED0BA7" w:rsidRDefault="00ED0BA7" w:rsidP="00625B46">
            <w:pPr>
              <w:rPr>
                <w:sz w:val="18"/>
                <w:szCs w:val="18"/>
              </w:rPr>
            </w:pPr>
            <w:r w:rsidRPr="00C310C3">
              <w:rPr>
                <w:sz w:val="18"/>
                <w:szCs w:val="18"/>
              </w:rPr>
              <w:t xml:space="preserve">Physicians receive minimum exposure/training on anticoagulant medication in medical training and the lack of communication and patient information results in misdiagnosis and/or inappropriate drug/dosage being prescribed.  </w:t>
            </w:r>
            <w:r>
              <w:rPr>
                <w:sz w:val="18"/>
                <w:szCs w:val="18"/>
              </w:rPr>
              <w:t xml:space="preserve">Topics include: </w:t>
            </w:r>
            <w:r w:rsidRPr="00C310C3">
              <w:rPr>
                <w:sz w:val="18"/>
                <w:szCs w:val="18"/>
              </w:rPr>
              <w:t>National Patient Safety Goal on Anticoagulation</w:t>
            </w:r>
            <w:r>
              <w:rPr>
                <w:sz w:val="18"/>
                <w:szCs w:val="18"/>
              </w:rPr>
              <w:t>;</w:t>
            </w:r>
            <w:r w:rsidRPr="00C310C3">
              <w:rPr>
                <w:sz w:val="18"/>
                <w:szCs w:val="18"/>
              </w:rPr>
              <w:t xml:space="preserve"> Hospital and Clinic protocols for administering and monitoring Warfarin to standardize care and testing</w:t>
            </w:r>
            <w:r>
              <w:rPr>
                <w:sz w:val="18"/>
                <w:szCs w:val="18"/>
              </w:rPr>
              <w:t>; and</w:t>
            </w:r>
            <w:r w:rsidRPr="00C310C3">
              <w:rPr>
                <w:sz w:val="18"/>
                <w:szCs w:val="18"/>
              </w:rPr>
              <w:t xml:space="preserve"> </w:t>
            </w:r>
            <w:r>
              <w:rPr>
                <w:sz w:val="18"/>
                <w:szCs w:val="18"/>
              </w:rPr>
              <w:t>A</w:t>
            </w:r>
            <w:r w:rsidRPr="00C310C3">
              <w:rPr>
                <w:sz w:val="18"/>
                <w:szCs w:val="18"/>
              </w:rPr>
              <w:t xml:space="preserve">ssessment and appropriate recommended Warfarin treatments.    </w:t>
            </w:r>
          </w:p>
          <w:p w:rsidR="00ED0BA7" w:rsidRDefault="00ED0BA7" w:rsidP="00625B46">
            <w:pPr>
              <w:rPr>
                <w:sz w:val="18"/>
                <w:szCs w:val="18"/>
              </w:rPr>
            </w:pPr>
          </w:p>
          <w:p w:rsidR="00ED0BA7" w:rsidRPr="00277389" w:rsidRDefault="00ED0BA7" w:rsidP="00625B46">
            <w:pPr>
              <w:rPr>
                <w:b/>
                <w:i/>
                <w:sz w:val="18"/>
                <w:szCs w:val="18"/>
              </w:rPr>
            </w:pPr>
            <w:r w:rsidRPr="00277389">
              <w:rPr>
                <w:b/>
                <w:i/>
                <w:sz w:val="18"/>
                <w:szCs w:val="18"/>
              </w:rPr>
              <w:t xml:space="preserve">(knowledge, competence, &amp; performance)    </w:t>
            </w:r>
          </w:p>
          <w:p w:rsidR="00ED0BA7" w:rsidRDefault="00ED0BA7" w:rsidP="00625B46">
            <w:pPr>
              <w:rPr>
                <w:sz w:val="18"/>
                <w:szCs w:val="18"/>
              </w:rPr>
            </w:pPr>
          </w:p>
          <w:p w:rsidR="00ED0BA7" w:rsidRPr="00277389" w:rsidRDefault="00ED0BA7" w:rsidP="00625B46">
            <w:pPr>
              <w:rPr>
                <w:sz w:val="18"/>
                <w:szCs w:val="18"/>
              </w:rPr>
            </w:pPr>
          </w:p>
        </w:tc>
        <w:tc>
          <w:tcPr>
            <w:tcW w:w="2660" w:type="dxa"/>
            <w:hideMark/>
          </w:tcPr>
          <w:p w:rsidR="00ED0BA7" w:rsidRDefault="00ED0BA7" w:rsidP="00625B46">
            <w:pPr>
              <w:rPr>
                <w:sz w:val="18"/>
                <w:szCs w:val="18"/>
              </w:rPr>
            </w:pPr>
            <w:r>
              <w:rPr>
                <w:sz w:val="18"/>
                <w:szCs w:val="18"/>
              </w:rPr>
              <w:t xml:space="preserve">After this CME activity, learners will be able to: </w:t>
            </w:r>
          </w:p>
          <w:p w:rsidR="00ED0BA7" w:rsidRDefault="00ED0BA7" w:rsidP="00625B46">
            <w:pPr>
              <w:rPr>
                <w:sz w:val="18"/>
                <w:szCs w:val="18"/>
              </w:rPr>
            </w:pPr>
          </w:p>
          <w:p w:rsidR="00ED0BA7" w:rsidRDefault="00ED0BA7" w:rsidP="00625B46">
            <w:pPr>
              <w:rPr>
                <w:sz w:val="18"/>
                <w:szCs w:val="18"/>
              </w:rPr>
            </w:pPr>
            <w:r>
              <w:rPr>
                <w:sz w:val="18"/>
                <w:szCs w:val="18"/>
              </w:rPr>
              <w:t>1) I</w:t>
            </w:r>
            <w:r w:rsidRPr="00C310C3">
              <w:rPr>
                <w:sz w:val="18"/>
                <w:szCs w:val="18"/>
              </w:rPr>
              <w:t xml:space="preserve">dentify appropriate treatment plans based on conducting established baseline measurements.  </w:t>
            </w:r>
          </w:p>
          <w:p w:rsidR="00ED0BA7" w:rsidRDefault="00ED0BA7" w:rsidP="00625B46">
            <w:pPr>
              <w:rPr>
                <w:sz w:val="18"/>
                <w:szCs w:val="18"/>
              </w:rPr>
            </w:pPr>
            <w:r>
              <w:rPr>
                <w:sz w:val="18"/>
                <w:szCs w:val="18"/>
              </w:rPr>
              <w:t xml:space="preserve">2) </w:t>
            </w:r>
            <w:r w:rsidRPr="00C310C3">
              <w:rPr>
                <w:sz w:val="18"/>
                <w:szCs w:val="18"/>
              </w:rPr>
              <w:t>Implement anticoagulant flow chart/triage form/</w:t>
            </w:r>
            <w:r>
              <w:rPr>
                <w:sz w:val="18"/>
                <w:szCs w:val="18"/>
              </w:rPr>
              <w:t xml:space="preserve"> </w:t>
            </w:r>
            <w:r w:rsidRPr="00C310C3">
              <w:rPr>
                <w:sz w:val="18"/>
                <w:szCs w:val="18"/>
              </w:rPr>
              <w:t xml:space="preserve">checklist to assist with assessment. </w:t>
            </w:r>
          </w:p>
          <w:p w:rsidR="00ED0BA7" w:rsidRPr="00C310C3" w:rsidRDefault="00ED0BA7" w:rsidP="00625B46">
            <w:pPr>
              <w:rPr>
                <w:sz w:val="18"/>
                <w:szCs w:val="18"/>
              </w:rPr>
            </w:pPr>
            <w:r>
              <w:rPr>
                <w:sz w:val="18"/>
                <w:szCs w:val="18"/>
              </w:rPr>
              <w:t xml:space="preserve">3) Understand and apply </w:t>
            </w:r>
            <w:r w:rsidRPr="00C310C3">
              <w:rPr>
                <w:sz w:val="18"/>
                <w:szCs w:val="18"/>
              </w:rPr>
              <w:t>hospital polices/</w:t>
            </w:r>
            <w:r>
              <w:rPr>
                <w:sz w:val="18"/>
                <w:szCs w:val="18"/>
              </w:rPr>
              <w:t xml:space="preserve"> </w:t>
            </w:r>
            <w:r w:rsidRPr="00C310C3">
              <w:rPr>
                <w:sz w:val="18"/>
                <w:szCs w:val="18"/>
              </w:rPr>
              <w:t xml:space="preserve">procedures regarding prescribing Warfarin. </w:t>
            </w:r>
          </w:p>
        </w:tc>
        <w:tc>
          <w:tcPr>
            <w:tcW w:w="2488" w:type="dxa"/>
            <w:hideMark/>
          </w:tcPr>
          <w:p w:rsidR="00ED0BA7" w:rsidRDefault="00ED0BA7" w:rsidP="00625B46">
            <w:pPr>
              <w:rPr>
                <w:sz w:val="18"/>
                <w:szCs w:val="18"/>
              </w:rPr>
            </w:pPr>
            <w:r w:rsidRPr="00C310C3">
              <w:rPr>
                <w:sz w:val="18"/>
                <w:szCs w:val="18"/>
              </w:rPr>
              <w:t xml:space="preserve">Physician’s competence level will increase and the result will be reduction in adverse Warfarin drug events and to ensure patient safety.  Will be measured by conducting a pre-post survey and gather data from the quality improvement team on the number of pre/post number of Warfarin patient related issues (i.e. chart audits). </w:t>
            </w:r>
          </w:p>
          <w:p w:rsidR="00ED0BA7" w:rsidRDefault="00ED0BA7" w:rsidP="00625B46">
            <w:pPr>
              <w:rPr>
                <w:b/>
                <w:sz w:val="18"/>
                <w:szCs w:val="18"/>
              </w:rPr>
            </w:pPr>
          </w:p>
          <w:p w:rsidR="00ED0BA7" w:rsidRPr="000112B2" w:rsidRDefault="00ED0BA7" w:rsidP="00625B46">
            <w:pPr>
              <w:rPr>
                <w:b/>
                <w:i/>
                <w:sz w:val="18"/>
                <w:szCs w:val="18"/>
              </w:rPr>
            </w:pPr>
            <w:r w:rsidRPr="000112B2">
              <w:rPr>
                <w:b/>
                <w:i/>
                <w:sz w:val="18"/>
                <w:szCs w:val="18"/>
              </w:rPr>
              <w:t>(Competence, Performance &amp; Patient Outcomes)</w:t>
            </w:r>
          </w:p>
        </w:tc>
      </w:tr>
      <w:tr w:rsidR="00ED0BA7" w:rsidRPr="00932E73" w:rsidTr="00ED0BA7">
        <w:trPr>
          <w:trHeight w:val="3059"/>
        </w:trPr>
        <w:tc>
          <w:tcPr>
            <w:tcW w:w="918" w:type="dxa"/>
            <w:hideMark/>
          </w:tcPr>
          <w:p w:rsidR="00ED0BA7" w:rsidRPr="000112B2" w:rsidRDefault="00ED0BA7" w:rsidP="00625B46">
            <w:pPr>
              <w:rPr>
                <w:b/>
                <w:sz w:val="18"/>
                <w:szCs w:val="18"/>
              </w:rPr>
            </w:pPr>
            <w:r w:rsidRPr="000112B2">
              <w:rPr>
                <w:b/>
                <w:sz w:val="18"/>
                <w:szCs w:val="18"/>
              </w:rPr>
              <w:t xml:space="preserve">Example 3 </w:t>
            </w:r>
          </w:p>
        </w:tc>
        <w:tc>
          <w:tcPr>
            <w:tcW w:w="1800" w:type="dxa"/>
            <w:hideMark/>
          </w:tcPr>
          <w:p w:rsidR="00ED0BA7" w:rsidRDefault="00ED0BA7" w:rsidP="00625B46">
            <w:pPr>
              <w:rPr>
                <w:sz w:val="18"/>
                <w:szCs w:val="18"/>
              </w:rPr>
            </w:pPr>
            <w:r w:rsidRPr="00C310C3">
              <w:rPr>
                <w:sz w:val="18"/>
                <w:szCs w:val="18"/>
              </w:rPr>
              <w:t xml:space="preserve">According to the Journal of Diabetes Research, 415 million people have DM-Type </w:t>
            </w:r>
            <w:r>
              <w:rPr>
                <w:sz w:val="18"/>
                <w:szCs w:val="18"/>
              </w:rPr>
              <w:t xml:space="preserve">2 and over the next 25 years prevalence is </w:t>
            </w:r>
            <w:r w:rsidRPr="00C310C3">
              <w:rPr>
                <w:sz w:val="18"/>
                <w:szCs w:val="18"/>
              </w:rPr>
              <w:t>expected to rise to about 642 million</w:t>
            </w:r>
            <w:r>
              <w:rPr>
                <w:sz w:val="18"/>
                <w:szCs w:val="18"/>
              </w:rPr>
              <w:t xml:space="preserve">. </w:t>
            </w:r>
            <w:r w:rsidRPr="00C310C3">
              <w:rPr>
                <w:sz w:val="18"/>
                <w:szCs w:val="18"/>
              </w:rPr>
              <w:t xml:space="preserve">Physicians’ </w:t>
            </w:r>
            <w:r>
              <w:rPr>
                <w:sz w:val="18"/>
                <w:szCs w:val="18"/>
              </w:rPr>
              <w:t>lack of appropriate screening and patient non-compliance exacerbates this public health issue as well as increases the incidence of the co-morbidity issues associated with DM-Type 2.</w:t>
            </w:r>
            <w:r w:rsidRPr="00C310C3">
              <w:rPr>
                <w:sz w:val="18"/>
                <w:szCs w:val="18"/>
              </w:rPr>
              <w:t xml:space="preserve"> </w:t>
            </w:r>
          </w:p>
          <w:p w:rsidR="00ED0BA7" w:rsidRDefault="00ED0BA7" w:rsidP="00625B46">
            <w:pPr>
              <w:rPr>
                <w:sz w:val="18"/>
                <w:szCs w:val="18"/>
              </w:rPr>
            </w:pPr>
          </w:p>
          <w:p w:rsidR="00ED0BA7" w:rsidRPr="00C310C3" w:rsidRDefault="00ED0BA7" w:rsidP="00625B46">
            <w:pPr>
              <w:rPr>
                <w:sz w:val="18"/>
                <w:szCs w:val="18"/>
              </w:rPr>
            </w:pPr>
          </w:p>
        </w:tc>
        <w:tc>
          <w:tcPr>
            <w:tcW w:w="3150" w:type="dxa"/>
            <w:hideMark/>
          </w:tcPr>
          <w:p w:rsidR="00ED0BA7" w:rsidRDefault="00ED0BA7" w:rsidP="00625B46">
            <w:pPr>
              <w:rPr>
                <w:sz w:val="18"/>
                <w:szCs w:val="18"/>
              </w:rPr>
            </w:pPr>
            <w:r w:rsidRPr="00C310C3">
              <w:rPr>
                <w:sz w:val="18"/>
                <w:szCs w:val="18"/>
              </w:rPr>
              <w:t>Physicians sometimes use a cookie-cutter appro</w:t>
            </w:r>
            <w:r>
              <w:rPr>
                <w:sz w:val="18"/>
                <w:szCs w:val="18"/>
              </w:rPr>
              <w:t xml:space="preserve">ach to diagnose and treat, as opposed to an </w:t>
            </w:r>
            <w:r w:rsidRPr="00C310C3">
              <w:rPr>
                <w:sz w:val="18"/>
                <w:szCs w:val="18"/>
              </w:rPr>
              <w:t>individualized</w:t>
            </w:r>
            <w:r>
              <w:rPr>
                <w:sz w:val="18"/>
                <w:szCs w:val="18"/>
              </w:rPr>
              <w:t xml:space="preserve"> approach</w:t>
            </w:r>
            <w:r w:rsidRPr="00C310C3">
              <w:rPr>
                <w:sz w:val="18"/>
                <w:szCs w:val="18"/>
              </w:rPr>
              <w:t xml:space="preserve">. </w:t>
            </w:r>
          </w:p>
          <w:p w:rsidR="00ED0BA7" w:rsidRDefault="00ED0BA7" w:rsidP="00625B46">
            <w:pPr>
              <w:rPr>
                <w:sz w:val="18"/>
                <w:szCs w:val="18"/>
              </w:rPr>
            </w:pPr>
          </w:p>
          <w:p w:rsidR="00ED0BA7" w:rsidRDefault="00ED0BA7" w:rsidP="00625B46">
            <w:pPr>
              <w:rPr>
                <w:sz w:val="18"/>
                <w:szCs w:val="18"/>
              </w:rPr>
            </w:pPr>
            <w:r>
              <w:rPr>
                <w:sz w:val="18"/>
                <w:szCs w:val="18"/>
              </w:rPr>
              <w:t>Topics include: Obtaining and reviewing medical history; determining insulin resistance; addressing patient non-compliance; and behavioral modifications for patients.</w:t>
            </w:r>
          </w:p>
          <w:p w:rsidR="00ED0BA7" w:rsidRDefault="00ED0BA7" w:rsidP="00625B46">
            <w:pPr>
              <w:rPr>
                <w:sz w:val="18"/>
                <w:szCs w:val="18"/>
              </w:rPr>
            </w:pPr>
          </w:p>
          <w:p w:rsidR="00ED0BA7" w:rsidRDefault="00ED0BA7" w:rsidP="00625B46">
            <w:pPr>
              <w:rPr>
                <w:sz w:val="18"/>
                <w:szCs w:val="18"/>
              </w:rPr>
            </w:pPr>
          </w:p>
          <w:p w:rsidR="00ED0BA7" w:rsidRPr="00277389" w:rsidRDefault="00ED0BA7" w:rsidP="00625B46">
            <w:pPr>
              <w:rPr>
                <w:b/>
                <w:i/>
                <w:sz w:val="18"/>
                <w:szCs w:val="18"/>
              </w:rPr>
            </w:pPr>
            <w:r w:rsidRPr="00277389">
              <w:rPr>
                <w:b/>
                <w:i/>
                <w:sz w:val="18"/>
                <w:szCs w:val="18"/>
              </w:rPr>
              <w:t>(competence &amp; performance)</w:t>
            </w:r>
          </w:p>
        </w:tc>
        <w:tc>
          <w:tcPr>
            <w:tcW w:w="2660" w:type="dxa"/>
            <w:hideMark/>
          </w:tcPr>
          <w:p w:rsidR="00ED0BA7" w:rsidRDefault="00ED0BA7" w:rsidP="00625B46">
            <w:pPr>
              <w:rPr>
                <w:sz w:val="18"/>
                <w:szCs w:val="18"/>
              </w:rPr>
            </w:pPr>
            <w:r>
              <w:rPr>
                <w:sz w:val="18"/>
                <w:szCs w:val="18"/>
              </w:rPr>
              <w:t xml:space="preserve">1) </w:t>
            </w:r>
            <w:r w:rsidRPr="00C310C3">
              <w:rPr>
                <w:sz w:val="18"/>
                <w:szCs w:val="18"/>
              </w:rPr>
              <w:t>Learner will learn strategies to treat DM-Type 2 when face</w:t>
            </w:r>
            <w:r>
              <w:rPr>
                <w:sz w:val="18"/>
                <w:szCs w:val="18"/>
              </w:rPr>
              <w:t>d</w:t>
            </w:r>
            <w:r w:rsidRPr="00C310C3">
              <w:rPr>
                <w:sz w:val="18"/>
                <w:szCs w:val="18"/>
              </w:rPr>
              <w:t xml:space="preserve"> with insulin resistance, patient non-compliance, and obtaining a complete medical history.  </w:t>
            </w:r>
          </w:p>
          <w:p w:rsidR="00ED0BA7" w:rsidRDefault="00ED0BA7" w:rsidP="00625B46">
            <w:pPr>
              <w:rPr>
                <w:sz w:val="18"/>
                <w:szCs w:val="18"/>
              </w:rPr>
            </w:pPr>
            <w:r>
              <w:rPr>
                <w:sz w:val="18"/>
                <w:szCs w:val="18"/>
              </w:rPr>
              <w:t xml:space="preserve">2) </w:t>
            </w:r>
            <w:r w:rsidRPr="00C310C3">
              <w:rPr>
                <w:sz w:val="18"/>
                <w:szCs w:val="18"/>
              </w:rPr>
              <w:t>Learner will understand the importance of working cross-functionally with other health professionals such as dietician</w:t>
            </w:r>
            <w:r>
              <w:rPr>
                <w:sz w:val="18"/>
                <w:szCs w:val="18"/>
              </w:rPr>
              <w:t>s</w:t>
            </w:r>
            <w:r w:rsidRPr="00C310C3">
              <w:rPr>
                <w:sz w:val="18"/>
                <w:szCs w:val="18"/>
              </w:rPr>
              <w:t xml:space="preserve"> to assist with prevention and control of the disease.</w:t>
            </w:r>
          </w:p>
          <w:p w:rsidR="00ED0BA7" w:rsidRPr="00C310C3" w:rsidRDefault="00ED0BA7" w:rsidP="00625B46">
            <w:pPr>
              <w:rPr>
                <w:sz w:val="18"/>
                <w:szCs w:val="18"/>
              </w:rPr>
            </w:pPr>
            <w:r>
              <w:rPr>
                <w:sz w:val="18"/>
                <w:szCs w:val="18"/>
              </w:rPr>
              <w:t>3)</w:t>
            </w:r>
            <w:r w:rsidRPr="00C310C3">
              <w:rPr>
                <w:sz w:val="18"/>
                <w:szCs w:val="18"/>
              </w:rPr>
              <w:t xml:space="preserve"> </w:t>
            </w:r>
            <w:r>
              <w:rPr>
                <w:sz w:val="18"/>
                <w:szCs w:val="18"/>
              </w:rPr>
              <w:t>Learner will be able to identify other social determinants affecting patients and be able to recommend resources.</w:t>
            </w:r>
          </w:p>
        </w:tc>
        <w:tc>
          <w:tcPr>
            <w:tcW w:w="2488" w:type="dxa"/>
            <w:hideMark/>
          </w:tcPr>
          <w:p w:rsidR="00ED0BA7" w:rsidRDefault="00ED0BA7" w:rsidP="00625B46">
            <w:pPr>
              <w:rPr>
                <w:sz w:val="18"/>
                <w:szCs w:val="18"/>
              </w:rPr>
            </w:pPr>
            <w:r>
              <w:rPr>
                <w:sz w:val="18"/>
                <w:szCs w:val="18"/>
              </w:rPr>
              <w:t xml:space="preserve">Administer outcome survey to learners 30 days after program to determine what new practices they have adopted since attending the CME activity. </w:t>
            </w:r>
            <w:r w:rsidRPr="00C310C3">
              <w:rPr>
                <w:sz w:val="18"/>
                <w:szCs w:val="18"/>
              </w:rPr>
              <w:t xml:space="preserve"> </w:t>
            </w:r>
          </w:p>
          <w:p w:rsidR="00ED0BA7" w:rsidRDefault="00ED0BA7" w:rsidP="00625B46">
            <w:pPr>
              <w:rPr>
                <w:sz w:val="18"/>
                <w:szCs w:val="18"/>
              </w:rPr>
            </w:pPr>
          </w:p>
          <w:p w:rsidR="00ED0BA7" w:rsidRPr="000112B2" w:rsidRDefault="00ED0BA7" w:rsidP="00625B46">
            <w:pPr>
              <w:rPr>
                <w:b/>
                <w:i/>
                <w:sz w:val="18"/>
                <w:szCs w:val="18"/>
              </w:rPr>
            </w:pPr>
            <w:r w:rsidRPr="000112B2">
              <w:rPr>
                <w:b/>
                <w:i/>
                <w:sz w:val="18"/>
                <w:szCs w:val="18"/>
              </w:rPr>
              <w:t>(Competence &amp; Performance)</w:t>
            </w:r>
          </w:p>
        </w:tc>
      </w:tr>
    </w:tbl>
    <w:p w:rsidR="00A97B42" w:rsidRDefault="00A97B42" w:rsidP="00A97B42">
      <w:pPr>
        <w:spacing w:after="0" w:line="240" w:lineRule="auto"/>
      </w:pPr>
    </w:p>
    <w:p w:rsidR="00A97B42" w:rsidRDefault="00A97B42" w:rsidP="00A97B42">
      <w:pPr>
        <w:spacing w:after="0" w:line="240" w:lineRule="auto"/>
        <w:rPr>
          <w:b/>
        </w:rPr>
      </w:pPr>
    </w:p>
    <w:p w:rsidR="00B45732" w:rsidRDefault="00737310"/>
    <w:sectPr w:rsidR="00B45732" w:rsidSect="00ED0B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45D1"/>
    <w:multiLevelType w:val="hybridMultilevel"/>
    <w:tmpl w:val="0750E2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42"/>
    <w:rsid w:val="002F722A"/>
    <w:rsid w:val="00664B66"/>
    <w:rsid w:val="00737310"/>
    <w:rsid w:val="007D5F9D"/>
    <w:rsid w:val="00A4700A"/>
    <w:rsid w:val="00A97B42"/>
    <w:rsid w:val="00BB3347"/>
    <w:rsid w:val="00ED0BA7"/>
    <w:rsid w:val="00FB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B42"/>
    <w:pPr>
      <w:ind w:left="720"/>
      <w:contextualSpacing/>
    </w:pPr>
  </w:style>
  <w:style w:type="table" w:styleId="TableGrid">
    <w:name w:val="Table Grid"/>
    <w:basedOn w:val="TableNormal"/>
    <w:uiPriority w:val="59"/>
    <w:rsid w:val="00A97B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B42"/>
    <w:pPr>
      <w:ind w:left="720"/>
      <w:contextualSpacing/>
    </w:pPr>
  </w:style>
  <w:style w:type="table" w:styleId="TableGrid">
    <w:name w:val="Table Grid"/>
    <w:basedOn w:val="TableNormal"/>
    <w:uiPriority w:val="59"/>
    <w:rsid w:val="00A97B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 Kenya  D.</dc:creator>
  <cp:lastModifiedBy>Johnson, Brooke</cp:lastModifiedBy>
  <cp:revision>2</cp:revision>
  <dcterms:created xsi:type="dcterms:W3CDTF">2020-05-21T03:53:00Z</dcterms:created>
  <dcterms:modified xsi:type="dcterms:W3CDTF">2020-05-21T03:53:00Z</dcterms:modified>
</cp:coreProperties>
</file>